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95"/>
        <w:gridCol w:w="5351"/>
      </w:tblGrid>
      <w:tr w:rsidR="004A00E1" w:rsidRPr="00C937F7" w14:paraId="582AC70D" w14:textId="77777777" w:rsidTr="00B56B68">
        <w:tc>
          <w:tcPr>
            <w:tcW w:w="10682" w:type="dxa"/>
            <w:gridSpan w:val="2"/>
            <w:tcBorders>
              <w:top w:val="single" w:sz="36" w:space="0" w:color="FF0000"/>
              <w:left w:val="single" w:sz="8" w:space="0" w:color="FF0000"/>
              <w:bottom w:val="single" w:sz="36" w:space="0" w:color="FF0000"/>
              <w:right w:val="single" w:sz="8" w:space="0" w:color="FF0000"/>
            </w:tcBorders>
            <w:shd w:val="clear" w:color="auto" w:fill="auto"/>
          </w:tcPr>
          <w:p w14:paraId="7EB746F9" w14:textId="113B99A2" w:rsidR="004A00E1" w:rsidRPr="00C937F7" w:rsidRDefault="00DB05EB" w:rsidP="00DB05EB">
            <w:pPr>
              <w:jc w:val="center"/>
              <w:rPr>
                <w:b/>
                <w:bCs/>
                <w:sz w:val="24"/>
                <w:szCs w:val="36"/>
              </w:rPr>
            </w:pPr>
            <w:bookmarkStart w:id="0" w:name="_GoBack"/>
            <w:bookmarkEnd w:id="0"/>
            <w:r w:rsidRPr="00C937F7">
              <w:rPr>
                <w:noProof/>
                <w:sz w:val="18"/>
                <w:lang w:eastAsia="en-GB"/>
              </w:rPr>
              <w:drawing>
                <wp:anchor distT="0" distB="0" distL="114300" distR="114300" simplePos="0" relativeHeight="251663360" behindDoc="1" locked="0" layoutInCell="1" allowOverlap="1" wp14:anchorId="230F2D3B" wp14:editId="26FF11AD">
                  <wp:simplePos x="0" y="0"/>
                  <wp:positionH relativeFrom="column">
                    <wp:posOffset>-144780</wp:posOffset>
                  </wp:positionH>
                  <wp:positionV relativeFrom="paragraph">
                    <wp:posOffset>23495</wp:posOffset>
                  </wp:positionV>
                  <wp:extent cx="1195070" cy="329565"/>
                  <wp:effectExtent l="0" t="0" r="5080" b="0"/>
                  <wp:wrapTight wrapText="bothSides">
                    <wp:wrapPolygon edited="0">
                      <wp:start x="0" y="0"/>
                      <wp:lineTo x="0" y="19977"/>
                      <wp:lineTo x="21348" y="19977"/>
                      <wp:lineTo x="21348" y="0"/>
                      <wp:lineTo x="0" y="0"/>
                    </wp:wrapPolygon>
                  </wp:wrapTight>
                  <wp:docPr id="3" name="Picture 3" descr="Beckfoo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foot Trust"/>
                          <pic:cNvPicPr>
                            <a:picLocks noChangeAspect="1" noChangeArrowheads="1"/>
                          </pic:cNvPicPr>
                        </pic:nvPicPr>
                        <pic:blipFill rotWithShape="1">
                          <a:blip r:embed="rId10">
                            <a:extLst>
                              <a:ext uri="{28A0092B-C50C-407E-A947-70E740481C1C}">
                                <a14:useLocalDpi xmlns:a14="http://schemas.microsoft.com/office/drawing/2010/main" val="0"/>
                              </a:ext>
                            </a:extLst>
                          </a:blip>
                          <a:srcRect r="67436"/>
                          <a:stretch/>
                        </pic:blipFill>
                        <pic:spPr bwMode="auto">
                          <a:xfrm>
                            <a:off x="0" y="0"/>
                            <a:ext cx="1195070" cy="32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37F7">
              <w:rPr>
                <w:b/>
                <w:bCs/>
                <w:noProof/>
                <w:sz w:val="28"/>
                <w:szCs w:val="36"/>
                <w:lang w:eastAsia="en-GB"/>
              </w:rPr>
              <w:drawing>
                <wp:anchor distT="0" distB="0" distL="114300" distR="114300" simplePos="0" relativeHeight="251659264" behindDoc="0" locked="0" layoutInCell="1" allowOverlap="1" wp14:anchorId="16A3C355" wp14:editId="3681A761">
                  <wp:simplePos x="0" y="0"/>
                  <wp:positionH relativeFrom="margin">
                    <wp:posOffset>5648960</wp:posOffset>
                  </wp:positionH>
                  <wp:positionV relativeFrom="margin">
                    <wp:posOffset>-27305</wp:posOffset>
                  </wp:positionV>
                  <wp:extent cx="1026160" cy="3790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160" cy="379095"/>
                          </a:xfrm>
                          <a:prstGeom prst="rect">
                            <a:avLst/>
                          </a:prstGeom>
                          <a:noFill/>
                        </pic:spPr>
                      </pic:pic>
                    </a:graphicData>
                  </a:graphic>
                  <wp14:sizeRelH relativeFrom="margin">
                    <wp14:pctWidth>0</wp14:pctWidth>
                  </wp14:sizeRelH>
                  <wp14:sizeRelV relativeFrom="margin">
                    <wp14:pctHeight>0</wp14:pctHeight>
                  </wp14:sizeRelV>
                </wp:anchor>
              </w:drawing>
            </w:r>
            <w:r w:rsidR="004A00E1" w:rsidRPr="00C937F7">
              <w:rPr>
                <w:b/>
                <w:bCs/>
                <w:sz w:val="24"/>
                <w:szCs w:val="36"/>
              </w:rPr>
              <w:t>Beckfoot Allerton Primary School &amp; Nursery</w:t>
            </w:r>
          </w:p>
        </w:tc>
      </w:tr>
      <w:tr w:rsidR="004A00E1" w:rsidRPr="00C937F7" w14:paraId="64EB7DA6" w14:textId="77777777" w:rsidTr="00B56B68">
        <w:tc>
          <w:tcPr>
            <w:tcW w:w="10682" w:type="dxa"/>
            <w:gridSpan w:val="2"/>
            <w:tcBorders>
              <w:top w:val="single" w:sz="36" w:space="0" w:color="FF0000"/>
              <w:left w:val="single" w:sz="8" w:space="0" w:color="FF0000"/>
              <w:right w:val="single" w:sz="8" w:space="0" w:color="FF0000"/>
            </w:tcBorders>
            <w:shd w:val="clear" w:color="auto" w:fill="FF0000"/>
          </w:tcPr>
          <w:p w14:paraId="6A0F3830" w14:textId="34980409" w:rsidR="004A00E1" w:rsidRPr="00C937F7" w:rsidRDefault="00DB05EB" w:rsidP="00B56B68">
            <w:pPr>
              <w:pStyle w:val="NoSpacing"/>
              <w:jc w:val="center"/>
              <w:rPr>
                <w:b/>
                <w:bCs/>
                <w:szCs w:val="24"/>
              </w:rPr>
            </w:pPr>
            <w:r w:rsidRPr="00C937F7">
              <w:rPr>
                <w:b/>
                <w:bCs/>
                <w:color w:val="FFFFFF" w:themeColor="background1"/>
                <w:szCs w:val="24"/>
              </w:rPr>
              <w:t xml:space="preserve">Autumn Term Recovery Curriculum - </w:t>
            </w:r>
            <w:r w:rsidR="004A00E1" w:rsidRPr="00C937F7">
              <w:rPr>
                <w:b/>
                <w:bCs/>
                <w:color w:val="FFFFFF" w:themeColor="background1"/>
                <w:szCs w:val="24"/>
              </w:rPr>
              <w:t>Key Information Sheet</w:t>
            </w:r>
          </w:p>
        </w:tc>
      </w:tr>
      <w:tr w:rsidR="00673328" w:rsidRPr="00C937F7" w14:paraId="64C8EB5C" w14:textId="77777777" w:rsidTr="00673328">
        <w:trPr>
          <w:trHeight w:val="4785"/>
        </w:trPr>
        <w:tc>
          <w:tcPr>
            <w:tcW w:w="5211" w:type="dxa"/>
            <w:tcBorders>
              <w:top w:val="single" w:sz="36" w:space="0" w:color="FF0000"/>
              <w:left w:val="single" w:sz="8" w:space="0" w:color="FF0000"/>
              <w:bottom w:val="single" w:sz="8" w:space="0" w:color="FF0000"/>
              <w:right w:val="single" w:sz="8" w:space="0" w:color="FF0000"/>
            </w:tcBorders>
          </w:tcPr>
          <w:p w14:paraId="27BAB76F" w14:textId="4627F8F1" w:rsidR="00673328" w:rsidRPr="00C937F7" w:rsidRDefault="00673328" w:rsidP="004A00E1">
            <w:pPr>
              <w:pStyle w:val="NoSpacing"/>
              <w:rPr>
                <w:sz w:val="20"/>
              </w:rPr>
            </w:pPr>
            <w:r w:rsidRPr="00C937F7">
              <w:rPr>
                <w:b/>
                <w:bCs/>
                <w:sz w:val="20"/>
              </w:rPr>
              <w:t>What is a recovery curriculum?</w:t>
            </w:r>
            <w:r w:rsidRPr="00C937F7">
              <w:rPr>
                <w:sz w:val="20"/>
              </w:rPr>
              <w:t xml:space="preserve"> </w:t>
            </w:r>
          </w:p>
          <w:p w14:paraId="2255E0BB" w14:textId="77777777" w:rsidR="00673328" w:rsidRPr="00C937F7" w:rsidRDefault="00673328" w:rsidP="00DB05EB">
            <w:pPr>
              <w:pStyle w:val="NoSpacing"/>
              <w:jc w:val="both"/>
              <w:rPr>
                <w:rFonts w:cstheme="minorHAnsi"/>
                <w:b/>
                <w:i/>
                <w:color w:val="212529"/>
                <w:sz w:val="20"/>
                <w:shd w:val="clear" w:color="auto" w:fill="FFFFFF"/>
              </w:rPr>
            </w:pPr>
            <w:r w:rsidRPr="00C937F7">
              <w:rPr>
                <w:noProof/>
                <w:sz w:val="20"/>
                <w:lang w:eastAsia="en-GB"/>
              </w:rPr>
              <w:drawing>
                <wp:anchor distT="0" distB="0" distL="114300" distR="114300" simplePos="0" relativeHeight="251667456" behindDoc="1" locked="0" layoutInCell="1" allowOverlap="1" wp14:anchorId="75C36390" wp14:editId="7CFF53E3">
                  <wp:simplePos x="0" y="0"/>
                  <wp:positionH relativeFrom="column">
                    <wp:posOffset>2243455</wp:posOffset>
                  </wp:positionH>
                  <wp:positionV relativeFrom="paragraph">
                    <wp:posOffset>107315</wp:posOffset>
                  </wp:positionV>
                  <wp:extent cx="985520" cy="985520"/>
                  <wp:effectExtent l="0" t="0" r="5080" b="5080"/>
                  <wp:wrapTight wrapText="bothSides">
                    <wp:wrapPolygon edited="0">
                      <wp:start x="0" y="0"/>
                      <wp:lineTo x="0" y="21294"/>
                      <wp:lineTo x="21294" y="21294"/>
                      <wp:lineTo x="21294" y="0"/>
                      <wp:lineTo x="0" y="0"/>
                    </wp:wrapPolygon>
                  </wp:wrapTight>
                  <wp:docPr id="2" name="Picture 2" descr="Recovery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Curriculu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7F7">
              <w:rPr>
                <w:rFonts w:cstheme="minorHAnsi"/>
                <w:i/>
                <w:color w:val="212529"/>
                <w:sz w:val="20"/>
                <w:shd w:val="clear" w:color="auto" w:fill="FFFFFF"/>
              </w:rPr>
              <w:t>“It’s pretty obvious that we can’t just pick up, without missing a beat, exactly where we left off. We need to acknowledge the big event everyone will have experienced in terms of the lockdown – and for some, the significant loss associated with it – before we can hope to get back to the business of teaching and learning.”</w:t>
            </w:r>
            <w:r w:rsidRPr="00C937F7">
              <w:rPr>
                <w:rFonts w:cstheme="minorHAnsi"/>
                <w:b/>
                <w:i/>
                <w:color w:val="212529"/>
                <w:sz w:val="20"/>
                <w:shd w:val="clear" w:color="auto" w:fill="FFFFFF"/>
              </w:rPr>
              <w:t xml:space="preserve">                                                                  </w:t>
            </w:r>
          </w:p>
          <w:p w14:paraId="1DE5ECD0" w14:textId="539B3954" w:rsidR="00673328" w:rsidRPr="00C937F7" w:rsidRDefault="00673328" w:rsidP="00DB05EB">
            <w:pPr>
              <w:pStyle w:val="NoSpacing"/>
              <w:jc w:val="right"/>
              <w:rPr>
                <w:rFonts w:cstheme="minorHAnsi"/>
                <w:i/>
                <w:color w:val="212529"/>
                <w:sz w:val="20"/>
                <w:shd w:val="clear" w:color="auto" w:fill="FFFFFF"/>
              </w:rPr>
            </w:pPr>
            <w:r w:rsidRPr="00C937F7">
              <w:rPr>
                <w:rFonts w:cstheme="minorHAnsi"/>
                <w:b/>
                <w:i/>
                <w:color w:val="212529"/>
                <w:sz w:val="18"/>
                <w:shd w:val="clear" w:color="auto" w:fill="FFFFFF"/>
              </w:rPr>
              <w:t xml:space="preserve">Mary Myatt, 2020  </w:t>
            </w:r>
          </w:p>
          <w:p w14:paraId="26E1F95C" w14:textId="77777777" w:rsidR="00673328" w:rsidRPr="00C937F7" w:rsidRDefault="00673328" w:rsidP="00DB05EB">
            <w:pPr>
              <w:pStyle w:val="NoSpacing"/>
              <w:jc w:val="both"/>
              <w:rPr>
                <w:i/>
                <w:sz w:val="20"/>
              </w:rPr>
            </w:pPr>
            <w:r w:rsidRPr="00C937F7">
              <w:rPr>
                <w:i/>
                <w:sz w:val="20"/>
              </w:rPr>
              <w:t>“Now is the time to return to more humane approaches, concerned with the fundamental wellbeing to secure positive development of the child.  Without this there will be no results that have true meaning and deep personal value to the child in terms of their preparation for adulthood</w:t>
            </w:r>
            <w:proofErr w:type="gramStart"/>
            <w:r w:rsidRPr="00C937F7">
              <w:rPr>
                <w:i/>
                <w:sz w:val="20"/>
              </w:rPr>
              <w:t>. ”</w:t>
            </w:r>
            <w:proofErr w:type="gramEnd"/>
            <w:r w:rsidRPr="00C937F7">
              <w:rPr>
                <w:i/>
                <w:sz w:val="20"/>
              </w:rPr>
              <w:t xml:space="preserve">  </w:t>
            </w:r>
          </w:p>
          <w:p w14:paraId="7D2845B4" w14:textId="30722AD5" w:rsidR="00673328" w:rsidRPr="00C937F7" w:rsidRDefault="00673328" w:rsidP="00DB05EB">
            <w:pPr>
              <w:pStyle w:val="NoSpacing"/>
              <w:jc w:val="right"/>
              <w:rPr>
                <w:i/>
                <w:sz w:val="20"/>
              </w:rPr>
            </w:pPr>
            <w:r w:rsidRPr="00C937F7">
              <w:rPr>
                <w:b/>
                <w:bCs/>
                <w:i/>
                <w:iCs/>
                <w:sz w:val="18"/>
              </w:rPr>
              <w:t>Carpenter B. &amp; Carpenter M. 2020</w:t>
            </w:r>
          </w:p>
          <w:p w14:paraId="74959414" w14:textId="77777777" w:rsidR="00673328" w:rsidRPr="00C937F7" w:rsidRDefault="00673328" w:rsidP="004A00E1">
            <w:pPr>
              <w:pStyle w:val="NoSpacing"/>
              <w:jc w:val="both"/>
              <w:rPr>
                <w:b/>
                <w:bCs/>
                <w:sz w:val="20"/>
              </w:rPr>
            </w:pPr>
          </w:p>
          <w:p w14:paraId="0D070C18" w14:textId="2F4BF9C1" w:rsidR="00673328" w:rsidRPr="00C937F7" w:rsidRDefault="00673328" w:rsidP="004A00E1">
            <w:pPr>
              <w:pStyle w:val="NoSpacing"/>
              <w:jc w:val="both"/>
              <w:rPr>
                <w:b/>
                <w:bCs/>
                <w:sz w:val="20"/>
              </w:rPr>
            </w:pPr>
            <w:r w:rsidRPr="00C937F7">
              <w:rPr>
                <w:b/>
                <w:bCs/>
                <w:sz w:val="20"/>
              </w:rPr>
              <w:t>What has been lost? What are we trying to recover?</w:t>
            </w:r>
          </w:p>
          <w:p w14:paraId="26D187E3" w14:textId="77777777" w:rsidR="00673328" w:rsidRPr="00C937F7" w:rsidRDefault="00673328" w:rsidP="00606BDE">
            <w:pPr>
              <w:pStyle w:val="NoSpacing"/>
              <w:numPr>
                <w:ilvl w:val="0"/>
                <w:numId w:val="1"/>
              </w:numPr>
              <w:jc w:val="both"/>
              <w:rPr>
                <w:sz w:val="20"/>
              </w:rPr>
            </w:pPr>
            <w:r w:rsidRPr="00C937F7">
              <w:rPr>
                <w:sz w:val="20"/>
              </w:rPr>
              <w:t>Routine</w:t>
            </w:r>
          </w:p>
          <w:p w14:paraId="130835C3" w14:textId="77777777" w:rsidR="00673328" w:rsidRPr="00C937F7" w:rsidRDefault="00673328" w:rsidP="00606BDE">
            <w:pPr>
              <w:pStyle w:val="NoSpacing"/>
              <w:numPr>
                <w:ilvl w:val="0"/>
                <w:numId w:val="1"/>
              </w:numPr>
              <w:jc w:val="both"/>
              <w:rPr>
                <w:sz w:val="20"/>
              </w:rPr>
            </w:pPr>
            <w:r w:rsidRPr="00C937F7">
              <w:rPr>
                <w:sz w:val="20"/>
              </w:rPr>
              <w:t>Structure</w:t>
            </w:r>
          </w:p>
          <w:p w14:paraId="7CA7A13E" w14:textId="77777777" w:rsidR="00673328" w:rsidRPr="00C937F7" w:rsidRDefault="00673328" w:rsidP="00606BDE">
            <w:pPr>
              <w:pStyle w:val="NoSpacing"/>
              <w:numPr>
                <w:ilvl w:val="0"/>
                <w:numId w:val="1"/>
              </w:numPr>
              <w:jc w:val="both"/>
              <w:rPr>
                <w:sz w:val="20"/>
              </w:rPr>
            </w:pPr>
            <w:r w:rsidRPr="00C937F7">
              <w:rPr>
                <w:sz w:val="20"/>
              </w:rPr>
              <w:t>Friendship</w:t>
            </w:r>
          </w:p>
          <w:p w14:paraId="1A9D959B" w14:textId="77777777" w:rsidR="00673328" w:rsidRPr="00C937F7" w:rsidRDefault="00673328" w:rsidP="00606BDE">
            <w:pPr>
              <w:pStyle w:val="NoSpacing"/>
              <w:numPr>
                <w:ilvl w:val="0"/>
                <w:numId w:val="1"/>
              </w:numPr>
              <w:jc w:val="both"/>
              <w:rPr>
                <w:sz w:val="20"/>
              </w:rPr>
            </w:pPr>
            <w:r w:rsidRPr="00C937F7">
              <w:rPr>
                <w:sz w:val="20"/>
              </w:rPr>
              <w:t>Opportunity</w:t>
            </w:r>
          </w:p>
          <w:p w14:paraId="6267B861" w14:textId="2A810BDD" w:rsidR="00673328" w:rsidRPr="00C937F7" w:rsidRDefault="00673328" w:rsidP="00606BDE">
            <w:pPr>
              <w:pStyle w:val="NoSpacing"/>
              <w:numPr>
                <w:ilvl w:val="0"/>
                <w:numId w:val="1"/>
              </w:numPr>
              <w:jc w:val="both"/>
              <w:rPr>
                <w:sz w:val="20"/>
              </w:rPr>
            </w:pPr>
            <w:r w:rsidRPr="00C937F7">
              <w:rPr>
                <w:sz w:val="20"/>
              </w:rPr>
              <w:t>Freedom</w:t>
            </w:r>
          </w:p>
          <w:p w14:paraId="295EA7AC" w14:textId="77777777" w:rsidR="00673328" w:rsidRPr="00C937F7" w:rsidRDefault="00673328" w:rsidP="00B56B68">
            <w:pPr>
              <w:pStyle w:val="NoSpacing"/>
              <w:jc w:val="both"/>
              <w:rPr>
                <w:b/>
                <w:bCs/>
                <w:sz w:val="20"/>
              </w:rPr>
            </w:pPr>
          </w:p>
          <w:p w14:paraId="40193BE7" w14:textId="77777777" w:rsidR="00673328" w:rsidRPr="00C937F7" w:rsidRDefault="00673328" w:rsidP="00B56B68">
            <w:pPr>
              <w:pStyle w:val="NoSpacing"/>
              <w:jc w:val="both"/>
              <w:rPr>
                <w:b/>
                <w:bCs/>
                <w:sz w:val="20"/>
              </w:rPr>
            </w:pPr>
            <w:r w:rsidRPr="00C937F7">
              <w:rPr>
                <w:b/>
                <w:bCs/>
                <w:sz w:val="20"/>
              </w:rPr>
              <w:t>What might be the consequences of these losses?</w:t>
            </w:r>
          </w:p>
          <w:p w14:paraId="39403EF1" w14:textId="3683801D" w:rsidR="00673328" w:rsidRPr="00C937F7" w:rsidRDefault="00673328" w:rsidP="00DB05EB">
            <w:pPr>
              <w:pStyle w:val="NoSpacing"/>
              <w:jc w:val="both"/>
              <w:rPr>
                <w:sz w:val="20"/>
              </w:rPr>
            </w:pPr>
            <w:r w:rsidRPr="00C937F7">
              <w:rPr>
                <w:sz w:val="20"/>
              </w:rPr>
              <w:t>It is anticipated that for children the losses may include: anxiety, trauma, bereavement and attachment.</w:t>
            </w:r>
            <w:r>
              <w:rPr>
                <w:sz w:val="20"/>
              </w:rPr>
              <w:t xml:space="preserve"> </w:t>
            </w:r>
          </w:p>
        </w:tc>
        <w:tc>
          <w:tcPr>
            <w:tcW w:w="5471" w:type="dxa"/>
            <w:vMerge w:val="restart"/>
            <w:tcBorders>
              <w:top w:val="single" w:sz="36" w:space="0" w:color="FF0000"/>
              <w:left w:val="single" w:sz="8" w:space="0" w:color="FF0000"/>
              <w:right w:val="single" w:sz="8" w:space="0" w:color="FF0000"/>
            </w:tcBorders>
          </w:tcPr>
          <w:p w14:paraId="27262D67" w14:textId="77ABC8C4" w:rsidR="00673328" w:rsidRPr="00C937F7" w:rsidRDefault="00673328" w:rsidP="004A00E1">
            <w:pPr>
              <w:pStyle w:val="NoSpacing"/>
              <w:jc w:val="both"/>
              <w:rPr>
                <w:b/>
                <w:bCs/>
                <w:sz w:val="20"/>
              </w:rPr>
            </w:pPr>
            <w:r w:rsidRPr="00C937F7">
              <w:rPr>
                <w:b/>
                <w:bCs/>
                <w:sz w:val="20"/>
              </w:rPr>
              <w:t>Core Text</w:t>
            </w:r>
            <w:r>
              <w:rPr>
                <w:b/>
                <w:bCs/>
                <w:sz w:val="20"/>
              </w:rPr>
              <w:t>s</w:t>
            </w:r>
            <w:r w:rsidRPr="00C937F7">
              <w:rPr>
                <w:sz w:val="20"/>
              </w:rPr>
              <w:t xml:space="preserve"> </w:t>
            </w:r>
            <w:r w:rsidRPr="00C937F7">
              <w:rPr>
                <w:noProof/>
                <w:sz w:val="20"/>
                <w:lang w:eastAsia="en-GB"/>
              </w:rPr>
              <mc:AlternateContent>
                <mc:Choice Requires="wps">
                  <w:drawing>
                    <wp:inline distT="0" distB="0" distL="0" distR="0" wp14:anchorId="1DDB4B30" wp14:editId="6AC21EEC">
                      <wp:extent cx="306705" cy="306705"/>
                      <wp:effectExtent l="0" t="0" r="0" b="0"/>
                      <wp:docPr id="5" name="Rectangle 5" descr="The Boy, The Mole, The Fox and The Horse: Amazon.co.uk: Charli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BC38C" id="Rectangle 5" o:spid="_x0000_s1026" alt="The Boy, The Mole, The Fox and The Horse: Amazon.co.uk: Charlie ..."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" filled="f" stroked="f">
                      <o:lock v:ext="edit" aspectratio="t"/>
                      <w10:anchorlock/>
                    </v:rect>
                  </w:pict>
                </mc:Fallback>
              </mc:AlternateContent>
            </w:r>
          </w:p>
          <w:p w14:paraId="06D10A8A" w14:textId="6B803FC9" w:rsidR="00673328" w:rsidRPr="00C937F7" w:rsidRDefault="00673328" w:rsidP="004A00E1">
            <w:pPr>
              <w:pStyle w:val="NoSpacing"/>
              <w:jc w:val="both"/>
              <w:rPr>
                <w:sz w:val="20"/>
              </w:rPr>
            </w:pPr>
            <w:r w:rsidRPr="00C937F7">
              <w:rPr>
                <w:sz w:val="20"/>
              </w:rPr>
              <w:t xml:space="preserve">Across school, </w:t>
            </w:r>
            <w:r>
              <w:rPr>
                <w:sz w:val="20"/>
              </w:rPr>
              <w:t xml:space="preserve">we will be using </w:t>
            </w:r>
            <w:r w:rsidRPr="00C937F7">
              <w:rPr>
                <w:sz w:val="20"/>
              </w:rPr>
              <w:t>core text</w:t>
            </w:r>
            <w:r>
              <w:rPr>
                <w:sz w:val="20"/>
              </w:rPr>
              <w:t>s</w:t>
            </w:r>
            <w:r w:rsidRPr="00C937F7">
              <w:rPr>
                <w:sz w:val="20"/>
              </w:rPr>
              <w:t xml:space="preserve"> in all year groups for the first 2 weeks of the Autumn Term. To support transition, the work would start with the child’s 19/20 class teacher and would continue with the child’s 20/21 class teacher</w:t>
            </w:r>
            <w:r>
              <w:rPr>
                <w:sz w:val="20"/>
              </w:rPr>
              <w:t xml:space="preserve"> in the second week</w:t>
            </w:r>
            <w:r w:rsidRPr="00C937F7">
              <w:rPr>
                <w:sz w:val="20"/>
              </w:rPr>
              <w:t xml:space="preserve">.  </w:t>
            </w:r>
          </w:p>
          <w:p w14:paraId="0DEE37B4" w14:textId="77777777" w:rsidR="00673328" w:rsidRPr="00C937F7" w:rsidRDefault="00673328" w:rsidP="004A00E1">
            <w:pPr>
              <w:pStyle w:val="NoSpacing"/>
              <w:jc w:val="both"/>
              <w:rPr>
                <w:sz w:val="20"/>
              </w:rPr>
            </w:pPr>
          </w:p>
          <w:p w14:paraId="51C8B436" w14:textId="78DDA422" w:rsidR="00673328" w:rsidRDefault="00673328" w:rsidP="004A00E1">
            <w:pPr>
              <w:pStyle w:val="NoSpacing"/>
              <w:jc w:val="both"/>
              <w:rPr>
                <w:sz w:val="20"/>
              </w:rPr>
            </w:pPr>
            <w:r>
              <w:rPr>
                <w:sz w:val="20"/>
              </w:rPr>
              <w:t xml:space="preserve">The two core texts are: </w:t>
            </w:r>
          </w:p>
          <w:p w14:paraId="503312E4" w14:textId="3785B2FE" w:rsidR="00673328" w:rsidRDefault="00673328" w:rsidP="004A00E1">
            <w:pPr>
              <w:pStyle w:val="NoSpacing"/>
              <w:jc w:val="both"/>
              <w:rPr>
                <w:sz w:val="20"/>
              </w:rPr>
            </w:pPr>
            <w:r w:rsidRPr="00673328">
              <w:rPr>
                <w:b/>
                <w:noProof/>
                <w:sz w:val="20"/>
                <w:lang w:eastAsia="en-GB"/>
              </w:rPr>
              <w:drawing>
                <wp:anchor distT="0" distB="0" distL="114300" distR="114300" simplePos="0" relativeHeight="251668480" behindDoc="1" locked="0" layoutInCell="1" allowOverlap="1" wp14:anchorId="5D3E48CD" wp14:editId="05196CDB">
                  <wp:simplePos x="0" y="0"/>
                  <wp:positionH relativeFrom="column">
                    <wp:posOffset>2447925</wp:posOffset>
                  </wp:positionH>
                  <wp:positionV relativeFrom="paragraph">
                    <wp:posOffset>15875</wp:posOffset>
                  </wp:positionV>
                  <wp:extent cx="927100" cy="1184275"/>
                  <wp:effectExtent l="19050" t="19050" r="25400" b="15875"/>
                  <wp:wrapTight wrapText="bothSides">
                    <wp:wrapPolygon edited="0">
                      <wp:start x="-444" y="-347"/>
                      <wp:lineTo x="-444" y="21542"/>
                      <wp:lineTo x="21748" y="21542"/>
                      <wp:lineTo x="21748" y="-347"/>
                      <wp:lineTo x="-444" y="-347"/>
                    </wp:wrapPolygon>
                  </wp:wrapTight>
                  <wp:docPr id="4" name="Picture 4" descr="The Boy, The Mole, The Fox and The Horse: Amazon.co.uk: Charl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y, The Mole, The Fox and The Horse: Amazon.co.uk: Charli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00" cy="11842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673328">
              <w:rPr>
                <w:b/>
                <w:sz w:val="20"/>
              </w:rPr>
              <w:t xml:space="preserve">The Boy, the Mole, the Fox and the Horse by Charlie </w:t>
            </w:r>
            <w:proofErr w:type="spellStart"/>
            <w:r w:rsidRPr="00673328">
              <w:rPr>
                <w:b/>
                <w:sz w:val="20"/>
              </w:rPr>
              <w:t>Mackesy</w:t>
            </w:r>
            <w:proofErr w:type="spellEnd"/>
            <w:r w:rsidRPr="00C937F7">
              <w:rPr>
                <w:sz w:val="20"/>
              </w:rPr>
              <w:t xml:space="preserve"> </w:t>
            </w:r>
            <w:r>
              <w:rPr>
                <w:sz w:val="20"/>
              </w:rPr>
              <w:t xml:space="preserve">which is </w:t>
            </w:r>
            <w:proofErr w:type="spellStart"/>
            <w:r w:rsidRPr="00C937F7">
              <w:rPr>
                <w:sz w:val="20"/>
              </w:rPr>
              <w:t>is</w:t>
            </w:r>
            <w:proofErr w:type="spellEnd"/>
            <w:r w:rsidRPr="00C937F7">
              <w:rPr>
                <w:sz w:val="20"/>
              </w:rPr>
              <w:t xml:space="preserve"> primarily about relationships and regulation.  Charley </w:t>
            </w:r>
            <w:proofErr w:type="spellStart"/>
            <w:r w:rsidRPr="00C937F7">
              <w:rPr>
                <w:sz w:val="20"/>
              </w:rPr>
              <w:t>Mackesy</w:t>
            </w:r>
            <w:proofErr w:type="spellEnd"/>
            <w:r w:rsidRPr="00C937F7">
              <w:rPr>
                <w:sz w:val="20"/>
              </w:rPr>
              <w:t xml:space="preserve"> says “</w:t>
            </w:r>
            <w:r w:rsidRPr="00C937F7">
              <w:rPr>
                <w:i/>
                <w:sz w:val="20"/>
              </w:rPr>
              <w:t>I hope this book encourages you, perhaps, to live courageously with more kindness for yourself and others. And to ask for help when you need it – which is always a brave thing to do</w:t>
            </w:r>
            <w:r w:rsidRPr="00C937F7">
              <w:rPr>
                <w:sz w:val="20"/>
              </w:rPr>
              <w:t xml:space="preserve">.”  </w:t>
            </w:r>
            <w:r w:rsidR="00AD6409">
              <w:rPr>
                <w:sz w:val="20"/>
              </w:rPr>
              <w:t xml:space="preserve">Although there is a story running through, </w:t>
            </w:r>
            <w:r w:rsidR="00AD6409" w:rsidRPr="00C937F7">
              <w:rPr>
                <w:sz w:val="20"/>
              </w:rPr>
              <w:t xml:space="preserve">it is written in such a way that it can be picked up at any page.  It is rich in learning opportunities in </w:t>
            </w:r>
            <w:r w:rsidR="00AD6409">
              <w:rPr>
                <w:sz w:val="20"/>
              </w:rPr>
              <w:t>speaking and listening, writing, P</w:t>
            </w:r>
            <w:r w:rsidR="00AD6409" w:rsidRPr="00C937F7">
              <w:rPr>
                <w:sz w:val="20"/>
              </w:rPr>
              <w:t>SHE and art.</w:t>
            </w:r>
            <w:r w:rsidR="00AD6409">
              <w:rPr>
                <w:sz w:val="20"/>
              </w:rPr>
              <w:t xml:space="preserve"> </w:t>
            </w:r>
            <w:r w:rsidR="00AD6409" w:rsidRPr="00C937F7">
              <w:rPr>
                <w:sz w:val="20"/>
              </w:rPr>
              <w:t xml:space="preserve">Save for PE, it </w:t>
            </w:r>
            <w:r w:rsidR="00AD6409">
              <w:rPr>
                <w:sz w:val="20"/>
              </w:rPr>
              <w:t>will</w:t>
            </w:r>
            <w:r w:rsidR="00AD6409" w:rsidRPr="00C937F7">
              <w:rPr>
                <w:sz w:val="20"/>
              </w:rPr>
              <w:t xml:space="preserve"> be the focus for all afternoon lessons</w:t>
            </w:r>
            <w:r w:rsidR="00AD6409">
              <w:rPr>
                <w:sz w:val="20"/>
              </w:rPr>
              <w:t xml:space="preserve"> in every class</w:t>
            </w:r>
            <w:r w:rsidR="00AD6409" w:rsidRPr="00C937F7">
              <w:rPr>
                <w:sz w:val="20"/>
              </w:rPr>
              <w:t xml:space="preserve"> during this time.</w:t>
            </w:r>
          </w:p>
          <w:p w14:paraId="19B63F0D" w14:textId="77777777" w:rsidR="00673328" w:rsidRDefault="00673328" w:rsidP="004A00E1">
            <w:pPr>
              <w:pStyle w:val="NoSpacing"/>
              <w:jc w:val="both"/>
              <w:rPr>
                <w:sz w:val="20"/>
              </w:rPr>
            </w:pPr>
          </w:p>
          <w:p w14:paraId="3DBCB262" w14:textId="1F309CE2" w:rsidR="00673328" w:rsidRPr="00673328" w:rsidRDefault="00673328" w:rsidP="004A00E1">
            <w:pPr>
              <w:pStyle w:val="NoSpacing"/>
              <w:jc w:val="both"/>
              <w:rPr>
                <w:rFonts w:cstheme="minorHAnsi"/>
                <w:sz w:val="20"/>
                <w:szCs w:val="20"/>
              </w:rPr>
            </w:pPr>
            <w:r w:rsidRPr="00673328">
              <w:rPr>
                <w:b/>
                <w:noProof/>
                <w:lang w:eastAsia="en-GB"/>
              </w:rPr>
              <w:drawing>
                <wp:anchor distT="0" distB="0" distL="114300" distR="114300" simplePos="0" relativeHeight="251669504" behindDoc="1" locked="0" layoutInCell="1" allowOverlap="1" wp14:anchorId="48551A2C" wp14:editId="01BBB909">
                  <wp:simplePos x="0" y="0"/>
                  <wp:positionH relativeFrom="column">
                    <wp:posOffset>2342515</wp:posOffset>
                  </wp:positionH>
                  <wp:positionV relativeFrom="paragraph">
                    <wp:posOffset>38735</wp:posOffset>
                  </wp:positionV>
                  <wp:extent cx="1068070" cy="1168400"/>
                  <wp:effectExtent l="0" t="0" r="0" b="0"/>
                  <wp:wrapTight wrapText="bothSides">
                    <wp:wrapPolygon edited="0">
                      <wp:start x="0" y="0"/>
                      <wp:lineTo x="0" y="21130"/>
                      <wp:lineTo x="21189" y="21130"/>
                      <wp:lineTo x="21189" y="0"/>
                      <wp:lineTo x="0" y="0"/>
                    </wp:wrapPolygon>
                  </wp:wrapTight>
                  <wp:docPr id="6" name="Picture 6" descr="https://images-na.ssl-images-amazon.com/images/I/51BtrRnSECL._SX45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BtrRnSECL._SX455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807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328">
              <w:rPr>
                <w:rFonts w:cstheme="minorHAnsi"/>
                <w:b/>
                <w:sz w:val="20"/>
                <w:szCs w:val="20"/>
              </w:rPr>
              <w:t>Here we are by Oliver Jeffers</w:t>
            </w:r>
            <w:r w:rsidR="00AD6409">
              <w:rPr>
                <w:rFonts w:cstheme="minorHAnsi"/>
                <w:b/>
                <w:sz w:val="20"/>
                <w:szCs w:val="20"/>
              </w:rPr>
              <w:t xml:space="preserve"> </w:t>
            </w:r>
            <w:r w:rsidRPr="00673328">
              <w:rPr>
                <w:rFonts w:cstheme="minorHAnsi"/>
                <w:sz w:val="20"/>
                <w:szCs w:val="20"/>
              </w:rPr>
              <w:t xml:space="preserve">which inspires a sense of awe, wonder and hope </w:t>
            </w:r>
            <w:r w:rsidRPr="00AD6409">
              <w:rPr>
                <w:rFonts w:cstheme="minorHAnsi"/>
                <w:color w:val="000000" w:themeColor="text1"/>
                <w:sz w:val="20"/>
                <w:szCs w:val="20"/>
              </w:rPr>
              <w:t xml:space="preserve">about the amazing world we live in. The Guardian reviewed it as </w:t>
            </w:r>
            <w:r w:rsidRPr="00AD6409">
              <w:rPr>
                <w:rFonts w:cstheme="minorHAnsi"/>
                <w:color w:val="000000" w:themeColor="text1"/>
                <w:sz w:val="20"/>
                <w:szCs w:val="20"/>
                <w:shd w:val="clear" w:color="auto" w:fill="FFFFFF"/>
              </w:rPr>
              <w:t>“</w:t>
            </w:r>
            <w:r w:rsidRPr="00AD6409">
              <w:rPr>
                <w:rFonts w:cstheme="minorHAnsi"/>
                <w:i/>
                <w:color w:val="000000" w:themeColor="text1"/>
                <w:sz w:val="20"/>
                <w:szCs w:val="20"/>
                <w:shd w:val="clear" w:color="auto" w:fill="FFFFFF"/>
              </w:rPr>
              <w:t>An optimistic snapshot of contemporary life, this heartfelt hug of a book ought to become a classic</w:t>
            </w:r>
            <w:r w:rsidRPr="00AD6409">
              <w:rPr>
                <w:rFonts w:cstheme="minorHAnsi"/>
                <w:color w:val="000000" w:themeColor="text1"/>
                <w:sz w:val="20"/>
                <w:szCs w:val="20"/>
                <w:shd w:val="clear" w:color="auto" w:fill="FFFFFF"/>
              </w:rPr>
              <w:t xml:space="preserve">”. </w:t>
            </w:r>
          </w:p>
          <w:p w14:paraId="5E0AC870" w14:textId="77777777" w:rsidR="00673328" w:rsidRPr="00C937F7" w:rsidRDefault="00673328" w:rsidP="004A00E1">
            <w:pPr>
              <w:pStyle w:val="NoSpacing"/>
              <w:jc w:val="both"/>
              <w:rPr>
                <w:sz w:val="20"/>
              </w:rPr>
            </w:pPr>
          </w:p>
          <w:p w14:paraId="70BB8421" w14:textId="579E6FE4" w:rsidR="00673328" w:rsidRPr="00C937F7" w:rsidRDefault="00673328" w:rsidP="00AD6409">
            <w:pPr>
              <w:pStyle w:val="NoSpacing"/>
              <w:jc w:val="both"/>
              <w:rPr>
                <w:b/>
                <w:bCs/>
                <w:sz w:val="20"/>
              </w:rPr>
            </w:pPr>
            <w:r>
              <w:rPr>
                <w:sz w:val="20"/>
              </w:rPr>
              <w:t xml:space="preserve">These texts are </w:t>
            </w:r>
            <w:r w:rsidRPr="00C937F7">
              <w:rPr>
                <w:sz w:val="20"/>
              </w:rPr>
              <w:t>aligned to our school values and explore big questions that are very relevant to the world our children have found themselves living in recently.  It will enable all year groups to reflect on</w:t>
            </w:r>
            <w:r>
              <w:rPr>
                <w:sz w:val="20"/>
              </w:rPr>
              <w:t>,</w:t>
            </w:r>
            <w:r w:rsidRPr="00C937F7">
              <w:rPr>
                <w:sz w:val="20"/>
              </w:rPr>
              <w:t xml:space="preserve"> talk about and make sense of the challenges faced by our community and the wider world recently.  The outcomes from all years </w:t>
            </w:r>
            <w:r>
              <w:rPr>
                <w:sz w:val="20"/>
              </w:rPr>
              <w:t>will</w:t>
            </w:r>
            <w:r w:rsidRPr="00C937F7">
              <w:rPr>
                <w:sz w:val="20"/>
              </w:rPr>
              <w:t xml:space="preserve"> form the basis for an Exhibi</w:t>
            </w:r>
            <w:r>
              <w:rPr>
                <w:sz w:val="20"/>
              </w:rPr>
              <w:t xml:space="preserve">tion of Hope in the Autumn Term which will also celebrate some of the amazing work produced in the Bubbles in the Spring and Summer Term. </w:t>
            </w:r>
            <w:r w:rsidRPr="00C937F7">
              <w:rPr>
                <w:sz w:val="20"/>
              </w:rPr>
              <w:t xml:space="preserve"> </w:t>
            </w:r>
          </w:p>
        </w:tc>
      </w:tr>
      <w:tr w:rsidR="00673328" w:rsidRPr="00C937F7" w14:paraId="79025072" w14:textId="77777777" w:rsidTr="00673328">
        <w:trPr>
          <w:trHeight w:val="3089"/>
        </w:trPr>
        <w:tc>
          <w:tcPr>
            <w:tcW w:w="5211" w:type="dxa"/>
            <w:tcBorders>
              <w:top w:val="single" w:sz="8" w:space="0" w:color="FF0000"/>
              <w:left w:val="single" w:sz="8" w:space="0" w:color="FF0000"/>
              <w:bottom w:val="single" w:sz="8" w:space="0" w:color="FF0000"/>
              <w:right w:val="single" w:sz="8" w:space="0" w:color="FF0000"/>
            </w:tcBorders>
          </w:tcPr>
          <w:p w14:paraId="4A50C8EC" w14:textId="77777777" w:rsidR="00673328" w:rsidRPr="00C937F7" w:rsidRDefault="00673328" w:rsidP="00673328">
            <w:pPr>
              <w:pStyle w:val="NoSpacing"/>
              <w:jc w:val="both"/>
              <w:rPr>
                <w:b/>
                <w:bCs/>
                <w:sz w:val="20"/>
              </w:rPr>
            </w:pPr>
            <w:r w:rsidRPr="00C937F7">
              <w:rPr>
                <w:b/>
                <w:bCs/>
                <w:sz w:val="20"/>
              </w:rPr>
              <w:t xml:space="preserve">What does this mean for our curriculum? </w:t>
            </w:r>
          </w:p>
          <w:p w14:paraId="11A1F409" w14:textId="2F8D7321" w:rsidR="00673328" w:rsidRPr="00C937F7" w:rsidRDefault="00673328" w:rsidP="00AD6409">
            <w:pPr>
              <w:pStyle w:val="NoSpacing"/>
              <w:rPr>
                <w:b/>
                <w:bCs/>
                <w:sz w:val="20"/>
              </w:rPr>
            </w:pPr>
            <w:r w:rsidRPr="00C937F7">
              <w:rPr>
                <w:sz w:val="20"/>
              </w:rPr>
              <w:t xml:space="preserve">In the Autumn Term, our Recovery Curriculum will be </w:t>
            </w:r>
            <w:r w:rsidR="00AD6409">
              <w:rPr>
                <w:sz w:val="20"/>
              </w:rPr>
              <w:t>p</w:t>
            </w:r>
            <w:r w:rsidRPr="00C937F7">
              <w:rPr>
                <w:sz w:val="20"/>
              </w:rPr>
              <w:t xml:space="preserve">remised on the 3 </w:t>
            </w:r>
            <w:proofErr w:type="spellStart"/>
            <w:r w:rsidRPr="00C937F7">
              <w:rPr>
                <w:sz w:val="20"/>
              </w:rPr>
              <w:t>Rs</w:t>
            </w:r>
            <w:proofErr w:type="spellEnd"/>
            <w:r w:rsidRPr="00C937F7">
              <w:rPr>
                <w:sz w:val="20"/>
              </w:rPr>
              <w:t xml:space="preserve"> of </w:t>
            </w:r>
            <w:r w:rsidRPr="00C937F7">
              <w:rPr>
                <w:b/>
                <w:sz w:val="20"/>
              </w:rPr>
              <w:t>Relationships</w:t>
            </w:r>
            <w:r w:rsidRPr="00C937F7">
              <w:rPr>
                <w:sz w:val="20"/>
              </w:rPr>
              <w:t xml:space="preserve">, </w:t>
            </w:r>
            <w:r w:rsidRPr="00C937F7">
              <w:rPr>
                <w:b/>
                <w:sz w:val="20"/>
              </w:rPr>
              <w:t>Regulation</w:t>
            </w:r>
            <w:r w:rsidRPr="00C937F7">
              <w:rPr>
                <w:sz w:val="20"/>
              </w:rPr>
              <w:t xml:space="preserve"> and </w:t>
            </w:r>
            <w:r w:rsidRPr="00C937F7">
              <w:rPr>
                <w:b/>
                <w:sz w:val="20"/>
              </w:rPr>
              <w:t>Re-engagement</w:t>
            </w:r>
            <w:r w:rsidRPr="00C937F7">
              <w:rPr>
                <w:sz w:val="20"/>
              </w:rPr>
              <w:t xml:space="preserve">.    We recognise that positive relationships between staff and children and between children sit at the heart of a great school.   </w:t>
            </w:r>
            <w:r>
              <w:rPr>
                <w:sz w:val="20"/>
              </w:rPr>
              <w:t xml:space="preserve">Our new Relationships and Regulation Policy will be central to our work in the Autumn Term.  </w:t>
            </w:r>
            <w:r w:rsidRPr="00C937F7">
              <w:rPr>
                <w:sz w:val="20"/>
              </w:rPr>
              <w:t>We want compassion and kindness to be woven throughout our school and our interactions with one another, children and their families as we support children to develop their resilience and self-regulation and to re-engage them in learning in the school environment.</w:t>
            </w:r>
          </w:p>
        </w:tc>
        <w:tc>
          <w:tcPr>
            <w:tcW w:w="5471" w:type="dxa"/>
            <w:vMerge/>
            <w:tcBorders>
              <w:left w:val="single" w:sz="8" w:space="0" w:color="FF0000"/>
              <w:right w:val="single" w:sz="8" w:space="0" w:color="FF0000"/>
            </w:tcBorders>
          </w:tcPr>
          <w:p w14:paraId="0D1BA7D5" w14:textId="77777777" w:rsidR="00673328" w:rsidRPr="00C937F7" w:rsidRDefault="00673328" w:rsidP="004A00E1">
            <w:pPr>
              <w:pStyle w:val="NoSpacing"/>
              <w:jc w:val="both"/>
              <w:rPr>
                <w:b/>
                <w:bCs/>
                <w:sz w:val="20"/>
              </w:rPr>
            </w:pPr>
          </w:p>
        </w:tc>
      </w:tr>
      <w:tr w:rsidR="00B56B68" w:rsidRPr="00C937F7" w14:paraId="0E861DC4" w14:textId="77777777" w:rsidTr="004732B7">
        <w:trPr>
          <w:trHeight w:val="472"/>
        </w:trPr>
        <w:tc>
          <w:tcPr>
            <w:tcW w:w="10682" w:type="dxa"/>
            <w:gridSpan w:val="2"/>
            <w:tcBorders>
              <w:top w:val="single" w:sz="8" w:space="0" w:color="FF0000"/>
              <w:left w:val="single" w:sz="8" w:space="0" w:color="FF0000"/>
              <w:bottom w:val="single" w:sz="8" w:space="0" w:color="FF0000"/>
              <w:right w:val="single" w:sz="8" w:space="0" w:color="FF0000"/>
            </w:tcBorders>
          </w:tcPr>
          <w:p w14:paraId="23C57047" w14:textId="220C91B8" w:rsidR="00B56B68" w:rsidRPr="00C937F7" w:rsidRDefault="00B56B68" w:rsidP="00B56B68">
            <w:pPr>
              <w:pStyle w:val="NoSpacing"/>
              <w:jc w:val="both"/>
              <w:rPr>
                <w:b/>
                <w:bCs/>
                <w:sz w:val="20"/>
              </w:rPr>
            </w:pPr>
            <w:r w:rsidRPr="00C937F7">
              <w:rPr>
                <w:b/>
                <w:bCs/>
                <w:sz w:val="20"/>
              </w:rPr>
              <w:t>What are our levers of recovery?</w:t>
            </w:r>
          </w:p>
          <w:p w14:paraId="68710F49" w14:textId="77777777" w:rsidR="00B56B68" w:rsidRPr="00C937F7" w:rsidRDefault="00B56B68" w:rsidP="004A00E1">
            <w:pPr>
              <w:pStyle w:val="NoSpacing"/>
              <w:rPr>
                <w:bCs/>
                <w:sz w:val="20"/>
              </w:rPr>
            </w:pPr>
            <w:r w:rsidRPr="00C937F7">
              <w:rPr>
                <w:b/>
                <w:bCs/>
                <w:sz w:val="20"/>
              </w:rPr>
              <w:t>Lever 1: Relationships</w:t>
            </w:r>
            <w:r w:rsidRPr="00C937F7">
              <w:rPr>
                <w:bCs/>
                <w:sz w:val="20"/>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25DA755A" w14:textId="77777777" w:rsidR="00B56B68" w:rsidRPr="00C937F7" w:rsidRDefault="00B56B68" w:rsidP="004A00E1">
            <w:pPr>
              <w:pStyle w:val="NoSpacing"/>
              <w:rPr>
                <w:bCs/>
                <w:sz w:val="20"/>
              </w:rPr>
            </w:pPr>
            <w:r w:rsidRPr="00C937F7">
              <w:rPr>
                <w:b/>
                <w:bCs/>
                <w:sz w:val="20"/>
              </w:rPr>
              <w:t>Lever 2:</w:t>
            </w:r>
            <w:r w:rsidRPr="00C937F7">
              <w:rPr>
                <w:bCs/>
                <w:sz w:val="20"/>
              </w:rPr>
              <w:t xml:space="preserve"> </w:t>
            </w:r>
            <w:r w:rsidRPr="00C937F7">
              <w:rPr>
                <w:b/>
                <w:bCs/>
                <w:sz w:val="20"/>
              </w:rPr>
              <w:t>Community</w:t>
            </w:r>
            <w:r w:rsidRPr="00C937F7">
              <w:rPr>
                <w:bCs/>
                <w:sz w:val="20"/>
              </w:rPr>
              <w:t xml:space="preserve"> – we must recognise that curriculum will have been based in the community for a long period of time. We need to listen to what has happened in this time, understand the needs of our community and engage them in the transitioning of learning back into school.</w:t>
            </w:r>
          </w:p>
          <w:p w14:paraId="26E20584" w14:textId="77777777" w:rsidR="00B56B68" w:rsidRPr="00C937F7" w:rsidRDefault="00B56B68" w:rsidP="004A00E1">
            <w:pPr>
              <w:pStyle w:val="NoSpacing"/>
              <w:rPr>
                <w:bCs/>
                <w:sz w:val="20"/>
              </w:rPr>
            </w:pPr>
            <w:r w:rsidRPr="00C937F7">
              <w:rPr>
                <w:b/>
                <w:bCs/>
                <w:sz w:val="20"/>
              </w:rPr>
              <w:t>Lever 3:</w:t>
            </w:r>
            <w:r w:rsidRPr="00C937F7">
              <w:rPr>
                <w:bCs/>
                <w:sz w:val="20"/>
              </w:rPr>
              <w:t xml:space="preserve"> </w:t>
            </w:r>
            <w:r w:rsidRPr="00C937F7">
              <w:rPr>
                <w:b/>
                <w:bCs/>
                <w:sz w:val="20"/>
              </w:rPr>
              <w:t>Transparent Curriculum</w:t>
            </w:r>
            <w:r w:rsidRPr="00C937F7">
              <w:rPr>
                <w:bCs/>
                <w:sz w:val="20"/>
              </w:rPr>
              <w:t xml:space="preserve"> – all of our students will feel like they have lost time in learning and we must show them how we are addressing these gaps, consulting and co-constructing with our students to heal this sense of loss.</w:t>
            </w:r>
          </w:p>
          <w:p w14:paraId="694A1E82" w14:textId="77777777" w:rsidR="00B56B68" w:rsidRPr="00C937F7" w:rsidRDefault="00B56B68" w:rsidP="004A00E1">
            <w:pPr>
              <w:pStyle w:val="NoSpacing"/>
              <w:rPr>
                <w:bCs/>
                <w:sz w:val="20"/>
              </w:rPr>
            </w:pPr>
            <w:r w:rsidRPr="00C937F7">
              <w:rPr>
                <w:b/>
                <w:bCs/>
                <w:sz w:val="20"/>
              </w:rPr>
              <w:t>Lever 4:</w:t>
            </w:r>
            <w:r w:rsidRPr="00C937F7">
              <w:rPr>
                <w:bCs/>
                <w:sz w:val="20"/>
              </w:rPr>
              <w:t xml:space="preserve"> </w:t>
            </w:r>
            <w:r w:rsidRPr="00C937F7">
              <w:rPr>
                <w:b/>
                <w:bCs/>
                <w:sz w:val="20"/>
              </w:rPr>
              <w:t>Metacognition</w:t>
            </w:r>
            <w:r w:rsidRPr="00C937F7">
              <w:rPr>
                <w:bCs/>
                <w:sz w:val="20"/>
              </w:rPr>
              <w:t xml:space="preserve"> – in different environments, students will have been learning in different ways. It is vital that we make the skills for learning in a school environment explicit to our students to reskill and rebuild their confidence as learners.</w:t>
            </w:r>
          </w:p>
          <w:p w14:paraId="1E4314EA" w14:textId="0C139B31" w:rsidR="00B56B68" w:rsidRPr="00C937F7" w:rsidRDefault="00B56B68" w:rsidP="00B56B68">
            <w:pPr>
              <w:pStyle w:val="NoSpacing"/>
              <w:jc w:val="both"/>
              <w:rPr>
                <w:b/>
                <w:bCs/>
                <w:sz w:val="20"/>
              </w:rPr>
            </w:pPr>
            <w:r w:rsidRPr="00C937F7">
              <w:rPr>
                <w:b/>
                <w:bCs/>
                <w:sz w:val="20"/>
              </w:rPr>
              <w:t>Lever 5:</w:t>
            </w:r>
            <w:r w:rsidRPr="00C937F7">
              <w:rPr>
                <w:bCs/>
                <w:sz w:val="20"/>
              </w:rPr>
              <w:t xml:space="preserve"> </w:t>
            </w:r>
            <w:r w:rsidRPr="00C937F7">
              <w:rPr>
                <w:b/>
                <w:bCs/>
                <w:sz w:val="20"/>
              </w:rPr>
              <w:t>Space</w:t>
            </w:r>
            <w:r w:rsidRPr="00C937F7">
              <w:rPr>
                <w:bCs/>
                <w:sz w:val="20"/>
              </w:rPr>
              <w:t xml:space="preserve"> – to be, to rediscover self, and to find their voice on learning in this issue. It is only natural that we all work at an incredible pace to make sure this group of learners are not disadvantaged against their peers, providing opportunity and exploration alongside the intensity of our expectations.</w:t>
            </w:r>
          </w:p>
        </w:tc>
      </w:tr>
      <w:tr w:rsidR="00C937F7" w:rsidRPr="00C937F7" w14:paraId="750A761E" w14:textId="77777777" w:rsidTr="00673328">
        <w:trPr>
          <w:trHeight w:val="376"/>
        </w:trPr>
        <w:tc>
          <w:tcPr>
            <w:tcW w:w="10682" w:type="dxa"/>
            <w:gridSpan w:val="2"/>
            <w:tcBorders>
              <w:top w:val="single" w:sz="8" w:space="0" w:color="FF0000"/>
              <w:left w:val="single" w:sz="8" w:space="0" w:color="FF0000"/>
              <w:bottom w:val="single" w:sz="8" w:space="0" w:color="FF0000"/>
              <w:right w:val="single" w:sz="8" w:space="0" w:color="FF0000"/>
            </w:tcBorders>
            <w:shd w:val="clear" w:color="auto" w:fill="FF0000"/>
          </w:tcPr>
          <w:p w14:paraId="189A5DBA" w14:textId="5E1150F6" w:rsidR="00C937F7" w:rsidRPr="00C937F7" w:rsidRDefault="00C937F7" w:rsidP="00C937F7">
            <w:pPr>
              <w:pStyle w:val="NoSpacing"/>
              <w:jc w:val="center"/>
              <w:rPr>
                <w:bCs/>
                <w:sz w:val="20"/>
              </w:rPr>
            </w:pPr>
            <w:r w:rsidRPr="00C937F7">
              <w:rPr>
                <w:b/>
                <w:bCs/>
                <w:i/>
                <w:color w:val="FFFFFF" w:themeColor="background1"/>
                <w:sz w:val="20"/>
              </w:rPr>
              <w:t>Teaching is a relationship-based profession</w:t>
            </w:r>
            <w:r>
              <w:rPr>
                <w:b/>
                <w:bCs/>
                <w:color w:val="FFFFFF" w:themeColor="background1"/>
                <w:sz w:val="20"/>
              </w:rPr>
              <w:t xml:space="preserve"> - </w:t>
            </w:r>
            <w:r w:rsidRPr="00C937F7">
              <w:rPr>
                <w:b/>
                <w:color w:val="FFFFFF" w:themeColor="background1"/>
                <w:sz w:val="16"/>
              </w:rPr>
              <w:t>Barry Carpenter, CBE, Professor of Mental Health in Education, Oxford Brookes University.</w:t>
            </w:r>
          </w:p>
        </w:tc>
      </w:tr>
    </w:tbl>
    <w:p w14:paraId="504CBB5B" w14:textId="77777777" w:rsidR="00B20BB8" w:rsidRPr="00C937F7" w:rsidRDefault="00B20BB8" w:rsidP="00B20BB8">
      <w:pPr>
        <w:pStyle w:val="NoSpacing"/>
        <w:jc w:val="both"/>
        <w:rPr>
          <w:sz w:val="20"/>
        </w:rPr>
      </w:pPr>
    </w:p>
    <w:sectPr w:rsidR="00B20BB8" w:rsidRPr="00C937F7" w:rsidSect="004A00E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9743" w14:textId="77777777" w:rsidR="00E00C39" w:rsidRDefault="00E00C39" w:rsidP="00E00C39">
      <w:pPr>
        <w:spacing w:after="0" w:line="240" w:lineRule="auto"/>
      </w:pPr>
      <w:r>
        <w:separator/>
      </w:r>
    </w:p>
  </w:endnote>
  <w:endnote w:type="continuationSeparator" w:id="0">
    <w:p w14:paraId="548CBFD0" w14:textId="77777777" w:rsidR="00E00C39" w:rsidRDefault="00E00C39" w:rsidP="00E0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4503" w14:textId="41472F85" w:rsidR="00E00C39" w:rsidRPr="00606BDE" w:rsidRDefault="00606BDE" w:rsidP="00B56B68">
    <w:pPr>
      <w:pStyle w:val="Footer"/>
      <w:jc w:val="right"/>
      <w:rPr>
        <w:sz w:val="20"/>
      </w:rPr>
    </w:pPr>
    <w:r w:rsidRPr="00606BDE">
      <w:rPr>
        <w:sz w:val="20"/>
      </w:rPr>
      <w:t>KEH</w:t>
    </w:r>
    <w:r w:rsidR="00673328">
      <w:rPr>
        <w:sz w:val="20"/>
      </w:rPr>
      <w:t xml:space="preserve"> 10.07.20 v2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1370" w14:textId="77777777" w:rsidR="00E00C39" w:rsidRDefault="00E00C39" w:rsidP="00E00C39">
      <w:pPr>
        <w:spacing w:after="0" w:line="240" w:lineRule="auto"/>
      </w:pPr>
      <w:r>
        <w:separator/>
      </w:r>
    </w:p>
  </w:footnote>
  <w:footnote w:type="continuationSeparator" w:id="0">
    <w:p w14:paraId="461BEA66" w14:textId="77777777" w:rsidR="00E00C39" w:rsidRDefault="00E00C39" w:rsidP="00E0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3C2"/>
    <w:multiLevelType w:val="hybridMultilevel"/>
    <w:tmpl w:val="1776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8"/>
    <w:rsid w:val="002129E4"/>
    <w:rsid w:val="002F5217"/>
    <w:rsid w:val="00312E33"/>
    <w:rsid w:val="003952D9"/>
    <w:rsid w:val="004A00E1"/>
    <w:rsid w:val="0051019F"/>
    <w:rsid w:val="00606BDE"/>
    <w:rsid w:val="00673328"/>
    <w:rsid w:val="0095511A"/>
    <w:rsid w:val="009E0BEB"/>
    <w:rsid w:val="009F7F00"/>
    <w:rsid w:val="00AD6409"/>
    <w:rsid w:val="00B20BB8"/>
    <w:rsid w:val="00B56B68"/>
    <w:rsid w:val="00C937F7"/>
    <w:rsid w:val="00DB05EB"/>
    <w:rsid w:val="00E0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C23"/>
  <w15:docId w15:val="{348B4F91-44CC-42BA-80DA-E97E4A1E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BB8"/>
    <w:pPr>
      <w:spacing w:after="0" w:line="240" w:lineRule="auto"/>
    </w:pPr>
  </w:style>
  <w:style w:type="paragraph" w:styleId="Header">
    <w:name w:val="header"/>
    <w:basedOn w:val="Normal"/>
    <w:link w:val="HeaderChar"/>
    <w:uiPriority w:val="99"/>
    <w:unhideWhenUsed/>
    <w:rsid w:val="00E00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39"/>
  </w:style>
  <w:style w:type="paragraph" w:styleId="Footer">
    <w:name w:val="footer"/>
    <w:basedOn w:val="Normal"/>
    <w:link w:val="FooterChar"/>
    <w:uiPriority w:val="99"/>
    <w:unhideWhenUsed/>
    <w:rsid w:val="00E00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39"/>
  </w:style>
  <w:style w:type="table" w:styleId="TableGrid">
    <w:name w:val="Table Grid"/>
    <w:basedOn w:val="TableNormal"/>
    <w:uiPriority w:val="39"/>
    <w:rsid w:val="004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B60B501DCAB46AFD4F82D1282C124" ma:contentTypeVersion="12" ma:contentTypeDescription="Create a new document." ma:contentTypeScope="" ma:versionID="4a3de2f81442aa30c756704b28751de5">
  <xsd:schema xmlns:xsd="http://www.w3.org/2001/XMLSchema" xmlns:xs="http://www.w3.org/2001/XMLSchema" xmlns:p="http://schemas.microsoft.com/office/2006/metadata/properties" xmlns:ns3="211a15c6-de87-4366-9c5f-6a94df8c9615" xmlns:ns4="5b36c4e0-84ba-4c02-9f22-03744df3d4e9" targetNamespace="http://schemas.microsoft.com/office/2006/metadata/properties" ma:root="true" ma:fieldsID="c17ba3b6b849334f09789270d799d516" ns3:_="" ns4:_="">
    <xsd:import namespace="211a15c6-de87-4366-9c5f-6a94df8c9615"/>
    <xsd:import namespace="5b36c4e0-84ba-4c02-9f22-03744df3d4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a15c6-de87-4366-9c5f-6a94df8c9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6c4e0-84ba-4c02-9f22-03744df3d4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08A6C-A6B1-464C-9321-8AAE41970788}">
  <ds:schemaRefs>
    <ds:schemaRef ds:uri="http://schemas.microsoft.com/sharepoint/v3/contenttype/forms"/>
  </ds:schemaRefs>
</ds:datastoreItem>
</file>

<file path=customXml/itemProps2.xml><?xml version="1.0" encoding="utf-8"?>
<ds:datastoreItem xmlns:ds="http://schemas.openxmlformats.org/officeDocument/2006/customXml" ds:itemID="{F209DB4E-56A4-4537-B5BD-8BF3B16BB7CC}">
  <ds:schemaRefs>
    <ds:schemaRef ds:uri="http://purl.org/dc/terms/"/>
    <ds:schemaRef ds:uri="211a15c6-de87-4366-9c5f-6a94df8c961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b36c4e0-84ba-4c02-9f22-03744df3d4e9"/>
    <ds:schemaRef ds:uri="http://www.w3.org/XML/1998/namespace"/>
    <ds:schemaRef ds:uri="http://purl.org/dc/dcmitype/"/>
  </ds:schemaRefs>
</ds:datastoreItem>
</file>

<file path=customXml/itemProps3.xml><?xml version="1.0" encoding="utf-8"?>
<ds:datastoreItem xmlns:ds="http://schemas.openxmlformats.org/officeDocument/2006/customXml" ds:itemID="{D5ABFB3C-1EDC-42BC-8930-FF2A82190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a15c6-de87-4366-9c5f-6a94df8c9615"/>
    <ds:schemaRef ds:uri="5b36c4e0-84ba-4c02-9f22-03744df3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Beckfoot Allerton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Turasz</dc:creator>
  <cp:lastModifiedBy>Beth Grant</cp:lastModifiedBy>
  <cp:revision>2</cp:revision>
  <dcterms:created xsi:type="dcterms:W3CDTF">2020-09-28T10:55:00Z</dcterms:created>
  <dcterms:modified xsi:type="dcterms:W3CDTF">2020-09-28T10:55:00Z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0x010100A17B60B501DCAB46AFD4F82D1282C124</vt:lpwstr>
  </property>
</Properties>
</file>